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60" w:rsidRDefault="00FD0E60" w:rsidP="00FD0E60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 xml:space="preserve">Supplement </w:t>
      </w:r>
      <w:r>
        <w:rPr>
          <w:rFonts w:ascii="Times New Roman" w:hAnsi="Times New Roman" w:cs="Times New Roman" w:hint="eastAsia"/>
          <w:b/>
          <w:bCs/>
          <w:szCs w:val="22"/>
        </w:rPr>
        <w:t>Figure</w:t>
      </w:r>
      <w:r>
        <w:rPr>
          <w:rFonts w:ascii="Times New Roman" w:hAnsi="Times New Roman" w:cs="Times New Roman"/>
          <w:b/>
          <w:bCs/>
          <w:szCs w:val="22"/>
        </w:rPr>
        <w:t xml:space="preserve"> 1. </w:t>
      </w:r>
      <w:r w:rsidRPr="005B79BF">
        <w:rPr>
          <w:rFonts w:ascii="Times New Roman" w:hAnsi="Times New Roman" w:cs="Times New Roman" w:hint="eastAsia"/>
          <w:b/>
          <w:bCs/>
          <w:szCs w:val="22"/>
        </w:rPr>
        <w:t>Analysis of the large group</w:t>
      </w:r>
      <w:r>
        <w:rPr>
          <w:rFonts w:ascii="Times New Roman" w:hAnsi="Times New Roman" w:cs="Times New Roman"/>
          <w:b/>
          <w:bCs/>
          <w:szCs w:val="22"/>
        </w:rPr>
        <w:t>.</w:t>
      </w:r>
    </w:p>
    <w:p w:rsidR="00FD0E60" w:rsidRPr="00542BEB" w:rsidRDefault="00FD0E60" w:rsidP="00FD0E60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542BEB">
        <w:rPr>
          <w:rFonts w:ascii="Times New Roman" w:hAnsi="Times New Roman" w:cs="Times New Roman"/>
          <w:szCs w:val="22"/>
        </w:rPr>
        <w:t xml:space="preserve">A. </w:t>
      </w:r>
      <w:proofErr w:type="gramStart"/>
      <w:r w:rsidRPr="00542BEB">
        <w:rPr>
          <w:rFonts w:ascii="Times New Roman" w:hAnsi="Times New Roman" w:cs="Times New Roman"/>
          <w:szCs w:val="22"/>
        </w:rPr>
        <w:t>The</w:t>
      </w:r>
      <w:proofErr w:type="gramEnd"/>
      <w:r w:rsidRPr="00542BEB">
        <w:rPr>
          <w:rFonts w:ascii="Times New Roman" w:hAnsi="Times New Roman" w:cs="Times New Roman"/>
          <w:szCs w:val="22"/>
        </w:rPr>
        <w:t xml:space="preserve"> MUAP diagram show</w:t>
      </w:r>
      <w:r>
        <w:rPr>
          <w:rFonts w:ascii="Times New Roman" w:hAnsi="Times New Roman" w:cs="Times New Roman"/>
          <w:szCs w:val="22"/>
        </w:rPr>
        <w:t>s</w:t>
      </w:r>
      <w:r w:rsidRPr="00542BEB">
        <w:rPr>
          <w:rFonts w:ascii="Times New Roman" w:hAnsi="Times New Roman" w:cs="Times New Roman"/>
          <w:szCs w:val="22"/>
        </w:rPr>
        <w:t xml:space="preserve"> the </w:t>
      </w:r>
      <w:proofErr w:type="spellStart"/>
      <w:r w:rsidRPr="00542BEB">
        <w:rPr>
          <w:rFonts w:ascii="Times New Roman" w:hAnsi="Times New Roman" w:cs="Times New Roman"/>
          <w:szCs w:val="22"/>
        </w:rPr>
        <w:t>seurat</w:t>
      </w:r>
      <w:proofErr w:type="spellEnd"/>
      <w:r w:rsidRPr="00542BEB">
        <w:rPr>
          <w:rFonts w:ascii="Times New Roman" w:hAnsi="Times New Roman" w:cs="Times New Roman"/>
          <w:szCs w:val="22"/>
        </w:rPr>
        <w:t xml:space="preserve"> clusters, groups</w:t>
      </w:r>
      <w:r>
        <w:rPr>
          <w:rFonts w:ascii="Times New Roman" w:hAnsi="Times New Roman" w:cs="Times New Roman"/>
          <w:szCs w:val="22"/>
        </w:rPr>
        <w:t>,</w:t>
      </w:r>
      <w:r w:rsidRPr="00542BEB">
        <w:rPr>
          <w:rFonts w:ascii="Times New Roman" w:hAnsi="Times New Roman" w:cs="Times New Roman"/>
          <w:szCs w:val="22"/>
        </w:rPr>
        <w:t xml:space="preserve"> and </w:t>
      </w:r>
      <w:proofErr w:type="spellStart"/>
      <w:r w:rsidRPr="00542BEB">
        <w:rPr>
          <w:rFonts w:ascii="Times New Roman" w:hAnsi="Times New Roman" w:cs="Times New Roman"/>
          <w:szCs w:val="22"/>
        </w:rPr>
        <w:t>orig.ident</w:t>
      </w:r>
      <w:proofErr w:type="spellEnd"/>
      <w:r w:rsidRPr="00542BEB">
        <w:rPr>
          <w:rFonts w:ascii="Times New Roman" w:hAnsi="Times New Roman" w:cs="Times New Roman"/>
          <w:szCs w:val="22"/>
        </w:rPr>
        <w:t xml:space="preserve"> conditions in various cell types.</w:t>
      </w:r>
    </w:p>
    <w:p w:rsidR="00FD0E60" w:rsidRDefault="00FD0E60" w:rsidP="00FD0E60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 xml:space="preserve">Supplement </w:t>
      </w:r>
      <w:r>
        <w:rPr>
          <w:rFonts w:ascii="Times New Roman" w:hAnsi="Times New Roman" w:cs="Times New Roman" w:hint="eastAsia"/>
          <w:b/>
          <w:bCs/>
          <w:szCs w:val="22"/>
        </w:rPr>
        <w:t>Figure</w:t>
      </w:r>
      <w:r>
        <w:rPr>
          <w:rFonts w:ascii="Times New Roman" w:hAnsi="Times New Roman" w:cs="Times New Roman"/>
          <w:b/>
          <w:bCs/>
          <w:szCs w:val="22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2"/>
        </w:rPr>
        <w:t>2</w:t>
      </w:r>
      <w:r>
        <w:rPr>
          <w:rFonts w:ascii="Times New Roman" w:hAnsi="Times New Roman" w:cs="Times New Roman"/>
          <w:b/>
          <w:bCs/>
          <w:szCs w:val="22"/>
        </w:rPr>
        <w:t>. ST analysis in AD.</w:t>
      </w:r>
    </w:p>
    <w:p w:rsidR="00FD0E60" w:rsidRDefault="00FD0E60" w:rsidP="00FD0E60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A. The most likely cell types in each spot of the AD ST section.</w:t>
      </w:r>
    </w:p>
    <w:p w:rsidR="00FD0E60" w:rsidRDefault="00FD0E60" w:rsidP="00FD0E60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B. </w:t>
      </w:r>
      <w:r w:rsidRPr="00FE5A3D">
        <w:rPr>
          <w:rFonts w:ascii="Times New Roman" w:hAnsi="Times New Roman" w:cs="Times New Roman" w:hint="eastAsia"/>
          <w:szCs w:val="22"/>
        </w:rPr>
        <w:t>The distribution of the C1, C2</w:t>
      </w:r>
      <w:r>
        <w:rPr>
          <w:rFonts w:ascii="Times New Roman" w:hAnsi="Times New Roman" w:cs="Times New Roman"/>
          <w:szCs w:val="22"/>
        </w:rPr>
        <w:t xml:space="preserve">, </w:t>
      </w:r>
      <w:r w:rsidRPr="00FE5A3D">
        <w:rPr>
          <w:rFonts w:ascii="Times New Roman" w:hAnsi="Times New Roman" w:cs="Times New Roman" w:hint="eastAsia"/>
          <w:szCs w:val="22"/>
        </w:rPr>
        <w:t>and C5 subgroup</w:t>
      </w:r>
      <w:r>
        <w:rPr>
          <w:rFonts w:ascii="Times New Roman" w:hAnsi="Times New Roman" w:cs="Times New Roman"/>
          <w:szCs w:val="22"/>
        </w:rPr>
        <w:t>s</w:t>
      </w:r>
      <w:r w:rsidRPr="00FE5A3D">
        <w:rPr>
          <w:rFonts w:ascii="Times New Roman" w:hAnsi="Times New Roman" w:cs="Times New Roman" w:hint="eastAsia"/>
          <w:szCs w:val="22"/>
        </w:rPr>
        <w:t xml:space="preserve"> in the ST section.</w:t>
      </w:r>
    </w:p>
    <w:p w:rsidR="00FD0E60" w:rsidRDefault="00FD0E60" w:rsidP="00FD0E60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szCs w:val="22"/>
        </w:rPr>
        <w:t>C</w:t>
      </w:r>
      <w:r>
        <w:rPr>
          <w:rFonts w:ascii="Times New Roman" w:hAnsi="Times New Roman" w:cs="Times New Roman"/>
          <w:szCs w:val="22"/>
        </w:rPr>
        <w:t xml:space="preserve">. The network diagram shows the intra- and para-view module sections of each cell type. </w:t>
      </w:r>
      <w:r w:rsidRPr="00FE5A3D">
        <w:rPr>
          <w:rFonts w:ascii="Times New Roman" w:hAnsi="Times New Roman" w:cs="Times New Roman" w:hint="eastAsia"/>
          <w:szCs w:val="22"/>
        </w:rPr>
        <w:t xml:space="preserve">The connections between the C3 subgroup and various cell types </w:t>
      </w:r>
      <w:r>
        <w:rPr>
          <w:rFonts w:ascii="Times New Roman" w:hAnsi="Times New Roman" w:cs="Times New Roman" w:hint="eastAsia"/>
          <w:szCs w:val="22"/>
        </w:rPr>
        <w:t>we</w:t>
      </w:r>
      <w:r w:rsidRPr="00FE5A3D">
        <w:rPr>
          <w:rFonts w:ascii="Times New Roman" w:hAnsi="Times New Roman" w:cs="Times New Roman" w:hint="eastAsia"/>
          <w:szCs w:val="22"/>
        </w:rPr>
        <w:t>re relatively close.</w:t>
      </w:r>
    </w:p>
    <w:p w:rsidR="005E5433" w:rsidRDefault="005E5433">
      <w:bookmarkStart w:id="0" w:name="_GoBack"/>
      <w:bookmarkEnd w:id="0"/>
    </w:p>
    <w:sectPr w:rsidR="005E54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E5B"/>
    <w:rsid w:val="005E5433"/>
    <w:rsid w:val="00634E5B"/>
    <w:rsid w:val="00FD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1277A6-53F4-4B3A-96BC-BA53C77CE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E60"/>
    <w:pPr>
      <w:widowControl w:val="0"/>
      <w:spacing w:line="278" w:lineRule="auto"/>
    </w:pPr>
    <w:rPr>
      <w:rFonts w:eastAsiaTheme="minorEastAsia"/>
      <w:kern w:val="2"/>
      <w:szCs w:val="24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Sivanesan</dc:creator>
  <cp:keywords/>
  <dc:description/>
  <cp:lastModifiedBy>Sivanesan</cp:lastModifiedBy>
  <cp:revision>2</cp:revision>
  <dcterms:created xsi:type="dcterms:W3CDTF">2026-02-04T08:21:00Z</dcterms:created>
  <dcterms:modified xsi:type="dcterms:W3CDTF">2026-02-04T08:21:00Z</dcterms:modified>
</cp:coreProperties>
</file>