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shd w:val="clear" w:color="auto" w:fill="FFFFFF" w:themeFill="background1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1670"/>
        <w:gridCol w:w="1570"/>
        <w:gridCol w:w="700"/>
        <w:gridCol w:w="1590"/>
        <w:gridCol w:w="1700"/>
        <w:gridCol w:w="93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652" w:type="dxa"/>
            <w:gridSpan w:val="7"/>
            <w:tcBorders>
              <w:top w:val="nil"/>
            </w:tcBorders>
            <w:shd w:val="clear" w:color="auto" w:fill="FFFFFF" w:themeFill="background1"/>
          </w:tcPr>
          <w:p>
            <w:pPr>
              <w:spacing w:beforeLines="0" w:afterLines="0"/>
              <w:ind w:left="1897" w:hanging="1890" w:hangingChars="900"/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lang w:val="en-US" w:eastAsia="zh-CN"/>
              </w:rPr>
              <w:t xml:space="preserve">Supplement 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kern w:val="24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Table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kern w:val="24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bookmarkStart w:id="0" w:name="OLE_LINK35"/>
            <w:r>
              <w:rPr>
                <w:rFonts w:hint="default" w:ascii="Times New Roman" w:hAnsi="Times New Roman" w:eastAsia="AdvPSA88A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Inter-observer agreement for BI-RADS descriptors and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categories</w:t>
            </w:r>
            <w:r>
              <w:rPr>
                <w:rFonts w:hint="default" w:ascii="Times New Roman" w:hAnsi="Times New Roman" w:eastAsia="AdvPSA88A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in static and video ultrasound</w:t>
            </w:r>
            <w:bookmarkEnd w:id="0"/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vMerge w:val="restart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Ultrasonic signs</w:t>
            </w:r>
          </w:p>
        </w:tc>
        <w:tc>
          <w:tcPr>
            <w:tcW w:w="8160" w:type="dxa"/>
            <w:gridSpan w:val="6"/>
            <w:shd w:val="clear" w:color="auto" w:fill="FFFFFF" w:themeFill="background1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 xml:space="preserve">Cohen's Kappa 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values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vMerge w:val="continue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</w:rPr>
            </w:pPr>
          </w:p>
        </w:tc>
        <w:tc>
          <w:tcPr>
            <w:tcW w:w="1670" w:type="dxa"/>
            <w:shd w:val="clear" w:color="auto" w:fill="FFFFFF" w:themeFill="background1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b w:val="0"/>
                <w:bCs w:val="0"/>
                <w:vertAlign w:val="baseline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Stati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 A</w:t>
            </w: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vertAlign w:val="superscript"/>
              </w:rPr>
              <w:t>Φ</w:t>
            </w:r>
          </w:p>
        </w:tc>
        <w:tc>
          <w:tcPr>
            <w:tcW w:w="1570" w:type="dxa"/>
            <w:shd w:val="clear" w:color="auto" w:fill="FFFFFF" w:themeFill="background1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b w:val="0"/>
                <w:bCs w:val="0"/>
                <w:vertAlign w:val="baseline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Dynamic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A</w:t>
            </w:r>
          </w:p>
        </w:tc>
        <w:tc>
          <w:tcPr>
            <w:tcW w:w="700" w:type="dxa"/>
            <w:shd w:val="clear" w:color="auto" w:fill="FFFFFF" w:themeFill="background1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i/>
                <w:iCs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*</w:t>
            </w:r>
          </w:p>
        </w:tc>
        <w:tc>
          <w:tcPr>
            <w:tcW w:w="1590" w:type="dxa"/>
            <w:shd w:val="clear" w:color="auto" w:fill="FFFFFF" w:themeFill="background1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b w:val="0"/>
                <w:bCs w:val="0"/>
                <w:vertAlign w:val="baseline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Stat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B</w:t>
            </w:r>
            <w:bookmarkStart w:id="1" w:name="_GoBack"/>
            <w:bookmarkEnd w:id="1"/>
          </w:p>
        </w:tc>
        <w:tc>
          <w:tcPr>
            <w:tcW w:w="1700" w:type="dxa"/>
            <w:shd w:val="clear" w:color="auto" w:fill="FFFFFF" w:themeFill="background1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b w:val="0"/>
                <w:bCs w:val="0"/>
                <w:vertAlign w:val="baseline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Dynamic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B</w:t>
            </w:r>
          </w:p>
        </w:tc>
        <w:tc>
          <w:tcPr>
            <w:tcW w:w="930" w:type="dxa"/>
            <w:shd w:val="clear" w:color="auto" w:fill="FFFFFF" w:themeFill="background1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i/>
                <w:iCs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sha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e </w:t>
            </w:r>
          </w:p>
        </w:tc>
        <w:tc>
          <w:tcPr>
            <w:tcW w:w="1670" w:type="dxa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0.49(0.43,0.55)^</w:t>
            </w:r>
          </w:p>
        </w:tc>
        <w:tc>
          <w:tcPr>
            <w:tcW w:w="1570" w:type="dxa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0.55(0.49,0.61)</w:t>
            </w:r>
          </w:p>
        </w:tc>
        <w:tc>
          <w:tcPr>
            <w:tcW w:w="700" w:type="dxa"/>
            <w:vMerge w:val="restart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  <w:p>
            <w:pPr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0.666</w:t>
            </w:r>
          </w:p>
        </w:tc>
        <w:tc>
          <w:tcPr>
            <w:tcW w:w="1590" w:type="dxa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0.63(0.58,0.68)</w:t>
            </w:r>
          </w:p>
        </w:tc>
        <w:tc>
          <w:tcPr>
            <w:tcW w:w="1700" w:type="dxa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0.56(0.51,0.61)</w:t>
            </w:r>
          </w:p>
        </w:tc>
        <w:tc>
          <w:tcPr>
            <w:tcW w:w="930" w:type="dxa"/>
            <w:vMerge w:val="restart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  <w:p>
            <w:pPr>
              <w:spacing w:beforeLines="0" w:afterLines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0.716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AdvTT349184da" w:cs="Times New Roman"/>
                <w:b w:val="0"/>
                <w:bCs w:val="0"/>
                <w:color w:val="231F1F"/>
                <w:kern w:val="0"/>
                <w:sz w:val="21"/>
                <w:szCs w:val="21"/>
                <w:lang w:val="en-US" w:eastAsia="zh-CN" w:bidi="ar"/>
              </w:rPr>
              <w:t>orientation</w:t>
            </w:r>
          </w:p>
        </w:tc>
        <w:tc>
          <w:tcPr>
            <w:tcW w:w="1670" w:type="dxa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0.63(0.57,0.69)</w:t>
            </w:r>
          </w:p>
        </w:tc>
        <w:tc>
          <w:tcPr>
            <w:tcW w:w="157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0.54(0.47,0.61)</w:t>
            </w:r>
          </w:p>
        </w:tc>
        <w:tc>
          <w:tcPr>
            <w:tcW w:w="700" w:type="dxa"/>
            <w:vMerge w:val="continue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59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0.68(0.62,0.74)</w:t>
            </w:r>
          </w:p>
        </w:tc>
        <w:tc>
          <w:tcPr>
            <w:tcW w:w="170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0.66(0.60,0.72)</w:t>
            </w:r>
          </w:p>
        </w:tc>
        <w:tc>
          <w:tcPr>
            <w:tcW w:w="930" w:type="dxa"/>
            <w:vMerge w:val="continue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u w:val="none"/>
                <w:shd w:val="clear" w:fill="FFFFFF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u w:val="none"/>
                <w:shd w:val="clear" w:fill="FFFFFF"/>
              </w:rPr>
              <w:instrText xml:space="preserve"> HYPERLINK "C:/Program%20Files%20(x86)/Youdao/Dict/8.5.3.0/resultui/html/index.html" \l "/javascript:;" </w:instrTex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u w:val="none"/>
                <w:shd w:val="clear" w:fill="FFFFFF"/>
              </w:rPr>
              <w:fldChar w:fldCharType="separate"/>
            </w:r>
            <w:r>
              <w:rPr>
                <w:rStyle w:val="5"/>
                <w:rFonts w:hint="default" w:ascii="Times New Roman" w:hAnsi="Times New Roman" w:eastAsia="宋体" w:cs="Times New Roman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u w:val="none"/>
                <w:shd w:val="clear" w:fill="FFFFFF"/>
              </w:rPr>
              <w:t>margin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aps w:val="0"/>
                <w:color w:val="auto"/>
                <w:spacing w:val="0"/>
                <w:sz w:val="21"/>
                <w:szCs w:val="21"/>
                <w:u w:val="none"/>
                <w:shd w:val="clear" w:fill="FFFFFF"/>
              </w:rPr>
              <w:fldChar w:fldCharType="end"/>
            </w:r>
          </w:p>
        </w:tc>
        <w:tc>
          <w:tcPr>
            <w:tcW w:w="167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0.45(0.39,0.51)</w:t>
            </w:r>
          </w:p>
        </w:tc>
        <w:tc>
          <w:tcPr>
            <w:tcW w:w="157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0.47(0.41,0.53)</w:t>
            </w:r>
          </w:p>
        </w:tc>
        <w:tc>
          <w:tcPr>
            <w:tcW w:w="700" w:type="dxa"/>
            <w:vMerge w:val="continue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59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0.41(0.35,0.47)</w:t>
            </w:r>
          </w:p>
        </w:tc>
        <w:tc>
          <w:tcPr>
            <w:tcW w:w="170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0.45(,0.39,0.51)</w:t>
            </w:r>
          </w:p>
        </w:tc>
        <w:tc>
          <w:tcPr>
            <w:tcW w:w="930" w:type="dxa"/>
            <w:vMerge w:val="continue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shd w:val="clear" w:color="auto" w:fill="FFFFFF" w:themeFill="background1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AdvTT349184da" w:cs="Times New Roman"/>
                <w:b w:val="0"/>
                <w:bCs w:val="0"/>
                <w:color w:val="231F1F"/>
                <w:kern w:val="0"/>
                <w:sz w:val="21"/>
                <w:szCs w:val="21"/>
                <w:lang w:val="en-US" w:eastAsia="zh-CN" w:bidi="ar"/>
              </w:rPr>
              <w:t>echo pattern</w:t>
            </w:r>
          </w:p>
        </w:tc>
        <w:tc>
          <w:tcPr>
            <w:tcW w:w="167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0.41(0.31,0.51)</w:t>
            </w:r>
          </w:p>
        </w:tc>
        <w:tc>
          <w:tcPr>
            <w:tcW w:w="157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0.27(0.19,0.35)</w:t>
            </w:r>
          </w:p>
        </w:tc>
        <w:tc>
          <w:tcPr>
            <w:tcW w:w="700" w:type="dxa"/>
            <w:vMerge w:val="continue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59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0.35(0.25,0.45)</w:t>
            </w:r>
          </w:p>
        </w:tc>
        <w:tc>
          <w:tcPr>
            <w:tcW w:w="170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0.35(0.26,0.44)</w:t>
            </w:r>
          </w:p>
        </w:tc>
        <w:tc>
          <w:tcPr>
            <w:tcW w:w="930" w:type="dxa"/>
            <w:vMerge w:val="continue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shd w:val="clear" w:color="auto" w:fill="FFFFFF" w:themeFill="background1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AdvPSA88A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posterior features</w:t>
            </w:r>
          </w:p>
        </w:tc>
        <w:tc>
          <w:tcPr>
            <w:tcW w:w="167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0.41(0.34,0.48)</w:t>
            </w:r>
          </w:p>
        </w:tc>
        <w:tc>
          <w:tcPr>
            <w:tcW w:w="157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0.36(0.29,0.43)</w:t>
            </w:r>
          </w:p>
        </w:tc>
        <w:tc>
          <w:tcPr>
            <w:tcW w:w="700" w:type="dxa"/>
            <w:vMerge w:val="continue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59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0.38(,0.31,0.45)</w:t>
            </w:r>
          </w:p>
        </w:tc>
        <w:tc>
          <w:tcPr>
            <w:tcW w:w="170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0.39(0.33,0.45)</w:t>
            </w:r>
          </w:p>
        </w:tc>
        <w:tc>
          <w:tcPr>
            <w:tcW w:w="930" w:type="dxa"/>
            <w:vMerge w:val="continue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shd w:val="clear" w:color="auto" w:fill="FFFFFF" w:themeFill="background1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AdvTT349184da" w:cs="Times New Roman"/>
                <w:b w:val="0"/>
                <w:bCs w:val="0"/>
                <w:color w:val="231F1F"/>
                <w:kern w:val="0"/>
                <w:sz w:val="21"/>
                <w:szCs w:val="21"/>
                <w:lang w:val="en-US" w:eastAsia="zh-CN" w:bidi="ar"/>
              </w:rPr>
              <w:t>calcifications</w:t>
            </w:r>
          </w:p>
        </w:tc>
        <w:tc>
          <w:tcPr>
            <w:tcW w:w="167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0.60(0.50,0.70)</w:t>
            </w:r>
          </w:p>
        </w:tc>
        <w:tc>
          <w:tcPr>
            <w:tcW w:w="157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0.62(0.55,0.69)</w:t>
            </w:r>
          </w:p>
        </w:tc>
        <w:tc>
          <w:tcPr>
            <w:tcW w:w="700" w:type="dxa"/>
            <w:vMerge w:val="continue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59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0.66(0.57,0.75)</w:t>
            </w:r>
          </w:p>
        </w:tc>
        <w:tc>
          <w:tcPr>
            <w:tcW w:w="170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0.56(0.49,0.63)</w:t>
            </w:r>
          </w:p>
        </w:tc>
        <w:tc>
          <w:tcPr>
            <w:tcW w:w="930" w:type="dxa"/>
            <w:vMerge w:val="continue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shd w:val="clear" w:color="auto" w:fill="FFFFFF" w:themeFill="background1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AdvTT349184da" w:cs="Times New Roman"/>
                <w:b w:val="0"/>
                <w:bCs w:val="0"/>
                <w:color w:val="231F1F"/>
                <w:kern w:val="0"/>
                <w:sz w:val="21"/>
                <w:szCs w:val="21"/>
                <w:lang w:val="en-US" w:eastAsia="zh-CN" w:bidi="ar"/>
              </w:rPr>
              <w:t xml:space="preserve">surrounding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AdvTT349184da" w:cs="Times New Roman"/>
                <w:b w:val="0"/>
                <w:bCs w:val="0"/>
                <w:color w:val="231F1F"/>
                <w:kern w:val="0"/>
                <w:sz w:val="21"/>
                <w:szCs w:val="21"/>
                <w:lang w:val="en-US" w:eastAsia="zh-CN" w:bidi="ar"/>
              </w:rPr>
              <w:t>tissue changes</w:t>
            </w:r>
          </w:p>
        </w:tc>
        <w:tc>
          <w:tcPr>
            <w:tcW w:w="167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0.20(0.10,0.30)</w:t>
            </w:r>
          </w:p>
        </w:tc>
        <w:tc>
          <w:tcPr>
            <w:tcW w:w="157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0.15(0.10,0.20)</w:t>
            </w:r>
          </w:p>
        </w:tc>
        <w:tc>
          <w:tcPr>
            <w:tcW w:w="700" w:type="dxa"/>
            <w:vMerge w:val="continue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59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0.19(0.10,0.28)</w:t>
            </w:r>
          </w:p>
        </w:tc>
        <w:tc>
          <w:tcPr>
            <w:tcW w:w="170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0.09(0.04,0.14)</w:t>
            </w:r>
          </w:p>
        </w:tc>
        <w:tc>
          <w:tcPr>
            <w:tcW w:w="930" w:type="dxa"/>
            <w:vMerge w:val="continue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 w:eastAsia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BI-RADS classification</w:t>
            </w:r>
          </w:p>
        </w:tc>
        <w:tc>
          <w:tcPr>
            <w:tcW w:w="167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0.38(0.34,0.43)</w:t>
            </w:r>
          </w:p>
        </w:tc>
        <w:tc>
          <w:tcPr>
            <w:tcW w:w="157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0.35(0.31,0.40)</w:t>
            </w:r>
          </w:p>
        </w:tc>
        <w:tc>
          <w:tcPr>
            <w:tcW w:w="700" w:type="dxa"/>
            <w:vMerge w:val="continue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  <w:tc>
          <w:tcPr>
            <w:tcW w:w="159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0.40(0.36,0.45)</w:t>
            </w:r>
          </w:p>
        </w:tc>
        <w:tc>
          <w:tcPr>
            <w:tcW w:w="1700" w:type="dxa"/>
            <w:shd w:val="clear" w:color="auto" w:fill="FFFFFF" w:themeFill="background1"/>
            <w:vAlign w:val="top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0.38(0.34,0.43)</w:t>
            </w:r>
          </w:p>
        </w:tc>
        <w:tc>
          <w:tcPr>
            <w:tcW w:w="930" w:type="dxa"/>
            <w:vMerge w:val="continue"/>
            <w:shd w:val="clear" w:color="auto" w:fill="FFFFFF" w:themeFill="background1"/>
          </w:tcPr>
          <w:p>
            <w:pPr>
              <w:spacing w:beforeLines="0" w:afterLines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52" w:type="dxa"/>
            <w:gridSpan w:val="7"/>
            <w:tcBorders>
              <w:bottom w:val="nil"/>
            </w:tcBorders>
            <w:shd w:val="clear" w:color="auto" w:fill="FFFFFF" w:themeFill="background1"/>
          </w:tcPr>
          <w:p>
            <w:pPr>
              <w:widowControl/>
              <w:jc w:val="left"/>
              <w:rPr>
                <w:rFonts w:hint="default" w:ascii="Times New Roman" w:hAnsi="Times New Roman" w:eastAsia="AdvPSA88A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kern w:val="2"/>
                <w:sz w:val="21"/>
                <w:szCs w:val="21"/>
                <w:vertAlign w:val="superscript"/>
              </w:rPr>
              <w:t>Φ</w:t>
            </w:r>
            <w:r>
              <w:rPr>
                <w:rFonts w:hint="default" w:ascii="Times New Roman" w:hAnsi="Times New Roman" w:cs="Times New Roman" w:eastAsiaTheme="majorEastAsia"/>
                <w:i w:val="0"/>
                <w:iCs w:val="0"/>
                <w:kern w:val="0"/>
                <w:sz w:val="21"/>
                <w:szCs w:val="21"/>
                <w:lang w:bidi="ar"/>
              </w:rPr>
              <w:t>A</w:t>
            </w:r>
            <w:r>
              <w:rPr>
                <w:rFonts w:hint="default" w:ascii="Times New Roman" w:hAnsi="Times New Roman" w:cs="Times New Roman" w:eastAsiaTheme="majorEastAsia"/>
                <w:kern w:val="0"/>
                <w:sz w:val="21"/>
                <w:szCs w:val="21"/>
                <w:lang w:bidi="ar"/>
              </w:rPr>
              <w:t xml:space="preserve"> represents plane horizontal and B represents plane sagittal.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AdvPSA88A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AdvPSA88A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^Data in parentheses are 95% confifidence intervals.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vertAlign w:val="baseline"/>
              </w:rPr>
            </w:pPr>
            <w:r>
              <w:rPr>
                <w:rFonts w:hint="default" w:ascii="Times New Roman" w:hAnsi="Times New Roman" w:eastAsia="AdvPSA88A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*</w:t>
            </w:r>
            <w:r>
              <w:rPr>
                <w:rFonts w:hint="default" w:ascii="Times New Roman" w:hAnsi="Times New Roman" w:eastAsia="AdvPSA88A" w:cs="Times New Roman"/>
                <w:b w:val="0"/>
                <w:bCs w:val="0"/>
                <w:i/>
                <w:iCs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P </w:t>
            </w:r>
            <w:r>
              <w:rPr>
                <w:rFonts w:hint="default" w:ascii="Times New Roman" w:hAnsi="Times New Roman" w:eastAsia="AdvPSA88A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values represent a series of Kappa values without significant difference between static images and dynamic videos.</w:t>
            </w:r>
          </w:p>
        </w:tc>
      </w:tr>
    </w:tbl>
    <w:p/>
    <w:sectPr>
      <w:pgSz w:w="11906" w:h="16838"/>
      <w:pgMar w:top="1157" w:right="1179" w:bottom="1100" w:left="112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dvPSA88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dvTT349184d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8410D"/>
    <w:rsid w:val="17532F3A"/>
    <w:rsid w:val="5748410D"/>
    <w:rsid w:val="66380F97"/>
    <w:rsid w:val="6C043B23"/>
    <w:rsid w:val="6CE75629"/>
    <w:rsid w:val="7A88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2021-11-24T12:30:00Z</dcterms:created>
  <dc:creator>ydh</dc:creator>
  <cp:lastModifiedBy>ydh</cp:lastModifiedBy>
  <dcterms:modified xsi:type="dcterms:W3CDTF">2021-11-29T11:28:49Z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E0894BCD676D4769A11A920D99F94595</vt:lpwstr>
  </property>
</Properties>
</file>